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4AED26AB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ZSP14.253.5.2024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34A7AB1" wp14:textId="055DE2FB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wyrobów mleczarskich na potrzeby Zespołu Szkolno-Przedszkolnego nr 14 w Rybniku – dostawa</w:t>
      </w: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2B55FAA" wp14:textId="2CAF26A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4DC24912"/>
    <w:rsid w:val="695DA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2024-12-01T16:29:55.2612799Z</dcterms:modified>
  <dc:creator>Aleksandra Eichler</dc:creator>
  <lastModifiedBy>Aleksandra Eichler</lastModifiedBy>
</coreProperties>
</file>